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Trosa kommunfullmäktige</w:t>
      </w:r>
    </w:p>
    <w:p>
      <w:pPr>
        <w:pStyle w:val="Heading1"/>
      </w:pPr>
      <w:r>
        <w:t xml:space="preserve">HBTQI-certifiering av Trosa kommuns skolor och fritidsverksamhet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Trosa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 skola för alla är en liberal prioritering. HBTQI-certifiering kan minska diskriminering enligt kommunens likabehandlingsplan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Trosa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certifiera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fritidsverksamheten inkluderas i certifieringen.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personalutbildning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certifieringen är klar senast 2028.</w:t>
      </w:r>
    </w:p>
    <w:p>
      <w:pPr>
        <w:spacing w:before="360"/>
      </w:pPr>
    </w:p>
    <w:p>
      <w:r>
        <w:t xml:space="preserve">Trosa,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Trosa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2026-07-14T05:26:22.056Z</dcterms:created>
  <dcterms:modified xsi:type="dcterms:W3CDTF">2026-07-14T05:26:22.056Z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